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EWKFondsG — Kontrolle der Angaben</w:t>
      </w:r>
    </w:p>
    <w:p>
      <w:r>
        <w:rPr>
          <w:color w:val="555555"/>
          <w:sz w:val="18"/>
        </w:rPr>
        <w:t xml:space="preserve">Einwegkunststofffondsgesetz</w:t>
      </w:r>
    </w:p>
    <w:p>
      <w:r>
        <w:rPr>
          <w:color w:val="555555"/>
          <w:sz w:val="18"/>
        </w:rPr>
        <w:t xml:space="preserve">Stand: 01.01.2025 (konsolidierte Textfassung, kein amtliches Inkrafttretensdatum)</w:t>
      </w:r>
    </w:p>
    <w:p>
      <w:r>
        <w:t xml:space="preserve">(1) Bei Vorliegen von Anhaltspunkten für die Unrichtigkeit der Meldung eines Anspruchsberechtigten nach § 17 Absatz 1, die auch nach entsprechender Aufforderung innerhalb einer angemessenen Frist nicht ausgeräumt werden konnten, kann das Umweltbundesamt anordnen, dass der Anspruchsberechtigte die Angaben der Meldung auf seine Kosten durch einen zugelassenen Sachverständigen überprüfen zu lassen und den Prüfbericht vorzulegen hat. Kommt ein Anspruchsberechtigter dieser Anordnung nicht in der gesetzten Frist nach, gilt die Meldung als nicht erfolgt.</w:t>
      </w:r>
    </w:p>
    <w:p>
      <w:r>
        <w:t xml:space="preserve">(2) Zugelassener Sachverständiger nach Absatz 1 Satz 1 ist, wer</w:t>
      </w:r>
    </w:p>
    <w:p>
      <w:pPr>
        <w:ind w:left="420"/>
      </w:pPr>
      <w:r>
        <w:t xml:space="preserve">1. nach § 36 der Gewerbeordnung in der Fassung der Bekanntmachung vom 22. Februar 1999 (BGBl. I S. 202), die zuletzt durch Artikel 21 des Gesetzes vom 19. Dezember 2022 (BGBl. I S. 2606) geändert worden ist, in der jeweils geltenden Fassung, öffentlich bestellt ist,</w:t>
      </w:r>
    </w:p>
    <w:p>
      <w:pPr>
        <w:ind w:left="420"/>
      </w:pPr>
      <w:r>
        <w:t xml:space="preserve">2. als Umweltgutachter oder Umweltgutachterorganisation auf Grund einer Zulassung nach den §§ 9 und 10 oder nach § 18 des Umweltauditgesetzes in der Fassung der Bekanntmachung vom 4. September 2002 (BGBl. I S. 3490), das zuletzt durch Artikel 17 des Gesetzes vom 10. August 2021 (BGBl. I S. 3436) geändert worden ist, in der jeweils geltenden Fassung, in dem Bereich tätig werden darf, der näher bestimmt wird durch Anhang I Abschnitt E Abteilung 38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zuletzt durch die Verordnung (EG) Nr. 295/2008 (ABl. L 97 vom 9.4.2008, S. 13) geändert worden ist, in der jeweils geltenden Fassung,</w:t>
      </w:r>
    </w:p>
    <w:p>
      <w:pPr>
        <w:ind w:left="420"/>
      </w:pPr>
      <w:r>
        <w:t xml:space="preserve">3. eine Befähigung durch eine Akkreditierung der nationalen Akkreditierungsstelle in einem allgemein anerkannten Verfahren hat feststellen lassen oder</w:t>
      </w:r>
    </w:p>
    <w:p>
      <w:pPr>
        <w:ind w:left="420"/>
      </w:pPr>
      <w:r>
        <w:t xml:space="preserve">4. in einem anderen Mitgliedstaat der Europäischen Union oder in einem anderen Vertragsstaat des Abkommens über den Europäischen Wirtschaftsraum niedergelassen ist und eine Tätigkeit im Inland nur vorübergehend und gelegentlich ausüben will und seine Berufsqualifikation vor Aufnahme der Tätigkeit entsprechend den §§ 13a und 13b der Gewerbeordnung hat nachprüfen lassen; Verfahren nach dieser Nummer können über eine einheitliche Stelle abgewickelt werden.</w:t>
      </w:r>
    </w:p>
    <w:p>
      <w:r>
        <w:rPr>
          <w:color w:val="555555"/>
          <w:sz w:val="17"/>
        </w:rPr>
        <w:t xml:space="preserve">Zitiervorschlag: § 18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