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EWKFondsG — Register der Anspruchsberechtigten</w:t>
      </w:r>
    </w:p>
    <w:p>
      <w:r>
        <w:rPr>
          <w:color w:val="555555"/>
          <w:sz w:val="18"/>
        </w:rPr>
        <w:t xml:space="preserve">Einwegkunststofffondsgesetz</w:t>
      </w:r>
    </w:p>
    <w:p>
      <w:r>
        <w:rPr>
          <w:color w:val="555555"/>
          <w:sz w:val="18"/>
        </w:rPr>
        <w:t xml:space="preserve">Stand: 01.01.2024 (konsolidierte Textfassung, kein amtliches Inkrafttretensdatum)</w:t>
      </w:r>
    </w:p>
    <w:p>
      <w:r>
        <w:t xml:space="preserve">Zur Registrierung der Anspruchsberechtigten nach § 15 richtet das Umweltbundesamt ein informationstechnisches System ein und eröffnet den Zugang für die Anspruchsberechtigten auf seiner Internetseite. Das Umweltbundesamt kann nähere Anweisungen zum elektronischen Registrierungsverfahren erteilen sowie für die sonstige Kommunikation mit den Anspruchsberechtigten die elektronische Übermittlung, eine bestimmte Verschlüsselung sowie die Eröffnung eines Zugangs für die Übermittlung elektronischer Dokumente bestimmen. Das Umweltbundesamt ist befugt, die in § 15 Absatz 2 genannten Daten zu erheben, zu speichern und zu verwenden. Die Daten sind ein Jahr nach Ablauf des Tages, an dem die Registrierung des Anspruchsberechtigten endet, automatisiert zu löschen.</w:t>
      </w:r>
    </w:p>
    <w:p>
      <w:r>
        <w:rPr>
          <w:color w:val="555555"/>
          <w:sz w:val="17"/>
        </w:rPr>
        <w:t xml:space="preserve">Zitiervorschlag: § 16 EWKFondsG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https://recht.nulegal.eu/gesetze/EWKFondsG/16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