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EWKFondsG — Ziel</w:t>
      </w:r>
    </w:p>
    <w:p>
      <w:r>
        <w:rPr>
          <w:color w:val="555555"/>
          <w:sz w:val="18"/>
        </w:rPr>
        <w:t xml:space="preserve">Einwegkunststofffondsgesetz</w:t>
      </w:r>
    </w:p>
    <w:p>
      <w:r>
        <w:rPr>
          <w:color w:val="555555"/>
          <w:sz w:val="18"/>
        </w:rPr>
        <w:t xml:space="preserve">Stand: 25.06.2023 (konsolidierte Textfassung, kein amtliches Inkrafttretensdatum)</w:t>
      </w:r>
    </w:p>
    <w:p>
      <w:r>
        <w:t xml:space="preserve">Ziel dieses Gesetzes ist, die Auswirkungen der Einwegkunststoffprodukte nach Anlage 1 auf die Umwelt, insbesondere die Meeresumwelt, und die menschliche Gesundheit zu vermeiden und zu vermindern sowie innovative und nachhaltige Geschäftsmodelle, Produkte und Werkstoffe zu fördern. Um diese abfallwirtschaftlichen Ziele zu erreichen, soll das Gesetz auch das Marktverhalten der Verpflichteten regeln.</w:t>
      </w:r>
    </w:p>
    <w:p>
      <w:r>
        <w:rPr>
          <w:color w:val="555555"/>
          <w:sz w:val="17"/>
        </w:rPr>
        <w:t xml:space="preserve">Zitiervorschlag: § 1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