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EWIVAG — Bekanntmachungen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hat einen Verlegungsplan nach Artikel 14 Abs. 1 der Verordnung sowie die Abtretung der gesamten oder eines Teils der Beteiligung an der Vereinigung durch ein Mitglied nach Artikel 22 Abs. 1 der Verordnung gemäß § 10 des Handelsgesetzbuchs durch einen Hinweis auf die Einreichung der Urkunden beim Handelsregister bekanntzumachen.</w:t>
      </w:r>
    </w:p>
    <w:p>
      <w:r>
        <w:t xml:space="preserve">(2) Das Gericht hat die nach Artikel 11 der Verordnung im Amtsblatt der Europäischen Gemeinschaften zu veröffentlichenden Angaben binnen eines Monats nach der Bekanntmachung nach § 10 des Handelsgesetzbuchs dem Amt für amtliche Veröffentlichungen der Europäischen Gemeinschaften mitzuteilen.</w:t>
      </w:r>
    </w:p>
    <w:p>
      <w:r>
        <w:rPr>
          <w:color w:val="555555"/>
          <w:sz w:val="17"/>
        </w:rPr>
        <w:t xml:space="preserve">Zitiervorschlag: § 4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