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EWIVAG — Berlin-Klausel</w:t>
      </w:r>
    </w:p>
    <w:p>
      <w:r>
        <w:rPr>
          <w:color w:val="555555"/>
          <w:sz w:val="18"/>
        </w:rPr>
        <w:t xml:space="preserve">EWIV-Ausführungsgesetz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Maßgabe des § 13 Abs. 1 des Dritten Überleitungsgesetzes auch im Land Berlin.</w:t>
      </w:r>
    </w:p>
    <w:p>
      <w:r>
        <w:rPr>
          <w:color w:val="555555"/>
          <w:sz w:val="17"/>
        </w:rPr>
        <w:t xml:space="preserve">Zitiervorschlag: § 17 EWIVAG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https://recht.nulegal.eu/gesetze/EWIVAG/17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