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EWIVAG — Abwicklung der Vereinigung</w:t>
      </w:r>
    </w:p>
    <w:p>
      <w:r>
        <w:rPr>
          <w:color w:val="555555"/>
          <w:sz w:val="18"/>
        </w:rPr>
        <w:t xml:space="preserve">EWIV-Ausführungsgesetz</w:t>
      </w:r>
    </w:p>
    <w:p>
      <w:r>
        <w:rPr>
          <w:color w:val="555555"/>
          <w:sz w:val="18"/>
        </w:rPr>
        <w:t xml:space="preserve">Stand: 10.06.2019 (konsolidierte Textfassung, kein amtliches Inkrafttretensdatum)</w:t>
      </w:r>
    </w:p>
    <w:p>
      <w:r>
        <w:t xml:space="preserve">(1) In den Fällen der Auflösung der Vereinigung außer im Fall des Insolvenzverfahrens über das Vermögen der Vereinigung erfolgt die Abwicklung durch die Geschäftsführer, wenn sie nicht durch den Gründungsvertrag oder durch Beschluß der Mitglieder der Vereinigung anderen Personen übertragen ist.</w:t>
      </w:r>
    </w:p>
    <w:p>
      <w:r>
        <w:t xml:space="preserve">(2) Auf die Auswahl der Abwickler ist Artikel 19 Abs. 1 Satz 2 der Verordnung, auf die Anmeldung zur Eintragung in das Handelsregister § 3 Abs. 3 entsprechend anzuwenden.</w:t>
      </w:r>
    </w:p>
    <w:p>
      <w:r>
        <w:rPr>
          <w:color w:val="555555"/>
          <w:sz w:val="17"/>
        </w:rPr>
        <w:t xml:space="preserve">Zitiervorschlag: § 10 EWIVAG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https://recht.nulegal.eu/gesetze/EWIVAG/10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