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EWGSichV</w:t>
      </w:r>
    </w:p>
    <w:p>
      <w:r>
        <w:rPr>
          <w:color w:val="555555"/>
          <w:sz w:val="18"/>
        </w:rPr>
        <w:t xml:space="preserve">Verordnung über Sicherheiten für landwirtschaftliche Erzeugnisse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13 Abs. 1 Satz 1 und 2 und des § 21 Satz 1 Nr. 2 und Satz 2, jeweils in Verbindung mit § 6 Abs. 4 Satz 1, des Gesetzes zur Durchführung der Gemeinsamen Marktorganisationen in der Fassung der Bekanntmachung vom 27. August 1986 (BGBl. I S. 1397) wird im Einvernehmen mit den Bundesministern der Finanzen und für Wirtschaft verordnet:</w:t>
      </w:r>
    </w:p>
    <w:p>
      <w:r>
        <w:rPr>
          <w:color w:val="555555"/>
          <w:sz w:val="17"/>
        </w:rPr>
        <w:t xml:space="preserve">Zitiervorschlag: Eingangsformel EWGSichV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https://recht.nulegal.eu/gesetze/EWGSichV/eingangsformel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