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EWGSichV — Zu Unrecht freigegebene Sicherheiten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Vorbehaltlich einer anderen Regelung in den in § 1 genannten Rechtsakten ist eine zu Unrecht freigegebene Sicherheit erneut zu leisten, wenn der Sicherungszweck noch besteht.</w:t>
      </w:r>
    </w:p>
    <w:p>
      <w:r>
        <w:t xml:space="preserve">(2) Die zuständige Stelle ordnet die erneute Leistung der Sicherheit durch Bescheid an.</w:t>
      </w:r>
    </w:p>
    <w:p>
      <w:r>
        <w:rPr>
          <w:color w:val="555555"/>
          <w:sz w:val="17"/>
        </w:rPr>
        <w:t xml:space="preserve">Zitiervorschlag: § 7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