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EWGSichV — Verfall von Sicherheiten; Zinshöhe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Sicherheiten verfallen zugunsten der Bundesrepublik Deutschland, soweit in den in § 1 genannten Rechtsakten nicht etwas anderes bestimmt ist. Die zuständige Stelle erklärt den Verfall einer Sicherheit durch Bescheid.</w:t>
      </w:r>
    </w:p>
    <w:p>
      <w:r>
        <w:t xml:space="preserve">(2) Der nach Artikel 56 Absatz 2 der Durchführungsverordnung (EU) 2022/128 zu erhebende Zinssatz liegt fünf Prozentpunkte über dem jeweiligen Basiszinssatz nach § 247 des Bürgerlichen Gesetzbuchs.</w:t>
      </w:r>
    </w:p>
    <w:p>
      <w:r>
        <w:rPr>
          <w:color w:val="555555"/>
          <w:sz w:val="17"/>
        </w:rPr>
        <w:t xml:space="preserve">Zitiervorschlag: § 6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