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EWGSichV — Befreiung von der Sicherheitsleistung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Öffentliche Stellen, die in Ausübung hoheitlicher Gewalt tätig werden, sind von der Leistung einer Sicherheit befreit.</w:t>
      </w:r>
    </w:p>
    <w:p>
      <w:r>
        <w:t xml:space="preserve">(2) Bei Personen des privaten Rechts, die unter staatlicher Aufsicht in Ausübung hoheitlicher Gewalt tätig werden, entscheidet das Bundes- oder Landesministerium, zu dessen Geschäftsbereich die zuständige Stelle (§ 2) gehört, über die Befreiung von der Sicherheitsleistung.</w:t>
      </w:r>
    </w:p>
    <w:p>
      <w:r>
        <w:rPr>
          <w:color w:val="555555"/>
          <w:sz w:val="17"/>
        </w:rPr>
        <w:t xml:space="preserve">Zitiervorschlag: § 5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