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EWGLizV — Nachweise für den Handel mit Drittländern oder für die Referenzmenge</w:t>
      </w:r>
    </w:p>
    <w:p>
      <w:r>
        <w:rPr>
          <w:color w:val="555555"/>
          <w:sz w:val="18"/>
        </w:rPr>
        <w:t xml:space="preserve">Verordnung über Lizenzen für landwirtschaftliche Erzeugnisse</w:t>
      </w:r>
    </w:p>
    <w:p>
      <w:r>
        <w:rPr>
          <w:color w:val="555555"/>
          <w:sz w:val="18"/>
        </w:rPr>
        <w:t xml:space="preserve">Stand: 22.03.2022 (konsolidierte Textfassung, kein amtliches Inkrafttretensdatum)</w:t>
      </w:r>
    </w:p>
    <w:p>
      <w:r>
        <w:t xml:space="preserve">(1) Soweit Rechtsakte der Europäischen Union für die Erteilung einer Lizenz für ein Zollkontingent einen Nachweis über den Handel mit Drittländern (Handelsnachweis) vorsehen oder vom Nachweis einer Referenzmenge (Referenzmengennachweis) abhängig machen, muss im Nachweis der Antragsteller als zollrechtlicher Anmelder nach Artikel 5 Nummer 15 der Verordnung (EU) Nr. 952/2013 des Europäischen Parlaments und des Rates vom 9. Oktober 2013 zur Festlegung des Zollkodex der Union (ABl. L 269 vom 10.10.2013, S. 1; L 287 vom 29.10.2013, S. 90; L 267 vom 30.9.2016, S. 2; L 317 vom 1.10.2020, S. 39), die zuletzt durch die Verordnung (EU) 2019/632 (ABl. L 111 vom 25.4.2019, S. 54) geändert worden ist, ausgewiesen sein.</w:t>
      </w:r>
    </w:p>
    <w:p>
      <w:r>
        <w:t xml:space="preserve">(2) Für die Zwecke des Referenzmengennachweises muss sich die in der Zollanmeldung anzugebende Rechnungsnummer auf die Rechnung in der Fassung beziehen, die in der Buchhaltung des Antragstellers oder Lizenzübernehmers verbucht und von ihm beglichen wird. Die Marktordnungsstelle ist berechtigt, Übersetzungen anzufordern, wenn die vorgelegte Rechnung nicht in deutscher Sprache abgefasst ist.</w:t>
      </w:r>
    </w:p>
    <w:p>
      <w:r>
        <w:rPr>
          <w:color w:val="555555"/>
          <w:sz w:val="17"/>
        </w:rPr>
        <w:t xml:space="preserve">Zitiervorschlag: § 5 EWGLizV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https://recht.nulegal.eu/gesetze/EWGLizV/5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