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EWGLizV — Abschreibungen auf der Lizenz</w:t>
      </w:r>
    </w:p>
    <w:p>
      <w:r>
        <w:rPr>
          <w:color w:val="555555"/>
          <w:sz w:val="18"/>
        </w:rPr>
        <w:t xml:space="preserve">Verordnung über Lizenzen für landwirtschaftliche Erzeugnisse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(1) Die Abschreibung und die Bestätigung auf der Lizenz nimmt die Bundesfinanzverwaltung vor. Die für die Abschreibung erforderlichen Angaben kann der Beteiligte auch selbst auf der Lizenz eintragen.</w:t>
      </w:r>
    </w:p>
    <w:p>
      <w:r>
        <w:t xml:space="preserve">(2) Elektronisch erteilte Lizenzen werden durch die Bundesfinanzverwaltung elektronisch abgeschrieben und bestätigt. Die Marktordnungsstelle und die Bundesfinanzverwaltung übermitteln sich dazu gegenseitig auf elektronischem Weg, soweit erforderlich,</w:t>
      </w:r>
    </w:p>
    <w:p>
      <w:pPr>
        <w:ind w:left="420"/>
      </w:pPr>
      <w:r>
        <w:t xml:space="preserve">1. die in Abschnitt I Nummer 1, 4, 5 und 11 der Anlage des Marktorganisationsgesetzes genannten allgemeinen Daten,</w:t>
      </w:r>
    </w:p>
    <w:p>
      <w:pPr>
        <w:ind w:left="420"/>
      </w:pPr>
      <w:r>
        <w:t xml:space="preserve">2. die in Abschnitt II Nummer 8, 11, 15 bis 20 und 22 der Anlage des Marktorganisationsgesetzes genannten maßnahmenspezifischen Angaben sowie</w:t>
      </w:r>
    </w:p>
    <w:p>
      <w:pPr>
        <w:ind w:left="420"/>
      </w:pPr>
      <w:r>
        <w:t xml:space="preserve">3. die in der referenzierten Zollanmeldung enthaltene Nummer der Rechnung.</w:t>
      </w:r>
    </w:p>
    <w:p>
      <w:r>
        <w:rPr>
          <w:color w:val="555555"/>
          <w:sz w:val="17"/>
        </w:rPr>
        <w:t xml:space="preserve">Zitiervorschlag: § 4 EWGLizV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https://recht.nulegal.eu/gesetze/EWGLizV/4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