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EWGLizV</w:t>
      </w:r>
    </w:p>
    <w:p>
      <w:r>
        <w:rPr>
          <w:color w:val="555555"/>
          <w:sz w:val="18"/>
        </w:rPr>
        <w:t xml:space="preserve">Verordnung über Lizenzen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EWGLizV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https://recht.nulegal.eu/gesetze/EWGLizV/2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