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EVerkSiV — Inkrafttreten</w:t>
      </w:r>
    </w:p>
    <w:p>
      <w:r>
        <w:rPr>
          <w:color w:val="555555"/>
          <w:sz w:val="18"/>
        </w:rPr>
        <w:t xml:space="preserve">Verordnung zur Sicherstellung des Eisenbahnverkehrs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Diese Verordnung tritt am Tage nach der Verkündung in Kraft.</w:t>
      </w:r>
    </w:p>
    <w:p>
      <w:r>
        <w:t xml:space="preserve">(2) Sie darf gemäß § 2 Abs. 3 des Verkehrssicherstellungsgesetzes nur nach Maßgabe des Artikels 80a des Grundgesetzes und erst dann angewendet werden, wenn dies das Bundesministerium für Verkehr und digitale Infrastruktur durch Rechtsverordnung bestimmt hat.</w:t>
      </w:r>
    </w:p>
    <w:p>
      <w:r>
        <w:rPr>
          <w:color w:val="555555"/>
          <w:sz w:val="17"/>
        </w:rPr>
        <w:t xml:space="preserve">Zitiervorschlag: § 8 EVerkSiV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https://recht.nulegal.eu/gesetze/EVerkSiV/8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