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EVerkSiV — Straf- und Bußgeldvorschriften</w:t>
      </w:r>
    </w:p>
    <w:p>
      <w:r>
        <w:rPr>
          <w:color w:val="555555"/>
          <w:sz w:val="18"/>
        </w:rPr>
        <w:t xml:space="preserve">Verordnung zur Sicherstellung des Eisenbahnverkehrs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vorsätzlich oder fahrlässig entgegen § 3 Abs. 2 die Fristen für die Be- und Entladung von Beförderungsmitteln überschreitet, begeht eine Zuwiderhandlung im Sinne des § 26 Nr. 1 des Verkehrssicherstellungsgesetzes, die nach dem Wirtschaftsstrafgesetz 1954 geahndet wird.</w:t>
      </w:r>
    </w:p>
    <w:p>
      <w:r>
        <w:t xml:space="preserve">(2) Zuständige Verwaltungsbehörde im Sinne des § 29 Nr. 2 des Verkehrssicherstellungsgesetzes ist das Eisenbahn-Bundesamt, hinsichtlich des Kraftfahrzeugverkehrs der Eisenbahnen die höhere Verwaltungsbehörde des Landes.</w:t>
      </w:r>
    </w:p>
    <w:p>
      <w:r>
        <w:rPr>
          <w:color w:val="555555"/>
          <w:sz w:val="17"/>
        </w:rPr>
        <w:t xml:space="preserve">Zitiervorschlag: § 7 EVerkSiV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https://recht.nulegal.eu/gesetze/EVerkSiV/7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