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EVZStiftG — Aufsicht, Haushalt, Rechnungsprüfung</w:t>
      </w:r>
    </w:p>
    <w:p>
      <w:r>
        <w:rPr>
          <w:color w:val="555555"/>
          <w:sz w:val="18"/>
        </w:rPr>
        <w:t xml:space="preserve">Gesetz zur Errichtung einer Stiftung "Erinnerung, Verantwortung und Zukunft"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Rechtsaufsicht des Bundesministeriums der Finanzen.</w:t>
      </w:r>
    </w:p>
    <w:p>
      <w:r>
        <w:t xml:space="preserve">(2) Die Stiftung hat rechtzeitig vor Beginn eines jeden Geschäftsjahres einen Haushaltsplan aufzustellen. Der Haushaltsplan bedarf der Genehmigung des Bundesministeriums der Finanzen.</w:t>
      </w:r>
    </w:p>
    <w:p>
      <w:r>
        <w:t xml:space="preserve">(3) Die Stiftung unterliegt der Prüfung durch den Bundesrechnungshof. Unbeschadet dessen sind die Rechnung und die Haushalts- und Wirtschaftsführung der Stiftung durch das Bundesamt für zentrale Dienste und offene Vermögensfragen zu prüfen.</w:t>
      </w:r>
    </w:p>
    <w:p>
      <w:r>
        <w:rPr>
          <w:color w:val="555555"/>
          <w:sz w:val="17"/>
        </w:rPr>
        <w:t xml:space="preserve">Zitiervorschlag: § 8 EVZStiftG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https://recht.nulegal.eu/gesetze/EVZStiftG/8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