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EVZStiftG — Stiftungszweck</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Zweck der Stiftung ist es, über Partnerorganisationen Finanzmittel zur Gewährung von Leistungen an ehemalige Zwangsarbeiter und von anderem Unrecht aus der Zeit des Nationalsozialismus Betroffene bereitzustellen.</w:t>
      </w:r>
    </w:p>
    <w:p>
      <w:r>
        <w:t xml:space="preserve">(2) Innerhalb der Stiftung wird ein Fonds "Erinnerung und Zukunft" gebildet. Seine dauerhafte Aufgabe besteht darin, vor allem mit den Erträgen aus den ihm zugewiesenen Stiftungsmitteln Projekte zu fördern, die der Völkerverständigung, den Interessen von Überlebenden des nationalsozialistischen Regimes, dem Jugendaustausch, der sozialen Gerechtigkeit, der Erinnerung an die Bedrohung durch totalitäre Systeme und Gewaltherrschaft und der internationalen Zusammenarbeit auf humanitärem Gebiet dienen. Im Gedenken an und zu Ehren derjenigen Opfer nationalsozialistischen Unrechts, die nicht überlebt haben, soll er auch Projekte im Interesse ihrer Erben fördern.</w:t>
      </w:r>
    </w:p>
    <w:p>
      <w:r>
        <w:rPr>
          <w:color w:val="555555"/>
          <w:sz w:val="17"/>
        </w:rPr>
        <w:t xml:space="preserve">Zitiervorschlag: § 2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