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EVZStiftG — Bereitstellung der Mittel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stellt den Partnerorganisationen die Mittel nach Maßgabe des § 9 Abs. 2 und 3 vierteljährlich entsprechend des nachgewiesenen Bedarfs zur Verfügung. Ihre Verwendung wird von der Stiftung in angemessener Weise überprüft.</w:t>
      </w:r>
    </w:p>
    <w:p>
      <w:r>
        <w:t xml:space="preserve">(2) Die erstmalige Bereitstellung der Stiftungsmittel setzt das Inkrafttreten des deutsch-amerikanischen Regierungsabkommens betreffend die Stiftung "Erinnerung, Verantwortung und Zukunft" sowie die Herstellung ausreichender Rechtssicherheit für deutsche Unternehmen voraus. Das Vorliegen dieser Voraussetzungen stellt der Deutsche Bundestag fest.</w:t>
      </w:r>
    </w:p>
    <w:p>
      <w:r>
        <w:rPr>
          <w:color w:val="555555"/>
          <w:sz w:val="17"/>
        </w:rPr>
        <w:t xml:space="preserve">Zitiervorschlag: § 17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