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EVZStiftG — Berücksichtigung anderer Leistungen</w:t>
      </w:r>
    </w:p>
    <w:p>
      <w:r>
        <w:rPr>
          <w:color w:val="555555"/>
          <w:sz w:val="18"/>
        </w:rPr>
        <w:t xml:space="preserve">Gesetz zur Errichtung einer Stiftung "Erinnerung, Verantwortung und Zukunft"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Leistungen sollen den Leistungsberechtigten für erlittenes nationalsozialistisches Unrecht zugute kommen und dürfen nicht zur Minderung von Einkünften aus der Sozialfürsorge und dem Gesundheitswesen führen.</w:t>
      </w:r>
    </w:p>
    <w:p>
      <w:r>
        <w:t xml:space="preserve">(2) Frühere Leistungen von Unternehmen zum Ausgleich von Zwangsarbeit und anderem nationalsozialistischen Unrecht, auch wenn sie über Dritte gewährt wurden, werden auf Leistungen nach § 9 Abs. 1 angerechnet. Sonderregelungen im Rahmen der International Comission on Holocaust Era Insurance Claims bleiben unberührt.</w:t>
      </w:r>
    </w:p>
    <w:p>
      <w:r>
        <w:rPr>
          <w:color w:val="555555"/>
          <w:sz w:val="17"/>
        </w:rPr>
        <w:t xml:space="preserve">Zitiervorschlag: § 15 EVZStiftG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https://recht.nulegal.eu/gesetze/EVZStiftG/15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