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EVZStiftG — Mittelvergabe durch Partnerorganisationen</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Die Gewährung und die Auszahlung der Einmalleistungen an die nach § 11 Leistungsberechtigten erfolgen durch Partnerorganisationen. Die Stiftung ist insoweit weder berechtigt noch verpflichtet. Das Kuratorium kann eine andere Art der Auszahlung beschließen. Die Partnerorganisationen sollen mit geeigneten Verfolgtenverbänden und örtlichen Organisationen zusammenarbeiten.</w:t>
      </w:r>
    </w:p>
    <w:p>
      <w:r>
        <w:t xml:space="preserve">(2) Die Stiftung und ihre Partnerorganisationen sorgen innerhalb von zwei Monaten nach Inkrafttreten des Gesetzes für eine angemessene Bekanntmachung der nach diesem Gesetz möglichen Leistungen für alle in Betracht kommenden Gruppen von Leistungsberechtigten in den jeweiligen Wohnsitzländern. Diese beinhaltet insbesondere Informationen über die Stiftung und ihre Partnerorganisationen, die Leistungsvoraussetzungen und Anmeldefristen.</w:t>
      </w:r>
    </w:p>
    <w:p>
      <w:r>
        <w:rPr>
          <w:color w:val="555555"/>
          <w:sz w:val="17"/>
        </w:rPr>
        <w:t xml:space="preserve">Zitiervorschlag: § 10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