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EVV</w:t>
      </w:r>
    </w:p>
    <w:p>
      <w:r>
        <w:rPr>
          <w:color w:val="555555"/>
          <w:sz w:val="18"/>
        </w:rPr>
        <w:t xml:space="preserve">Verordnung zum Einkommen und Vermögen im SGB XIV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