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EVV — Vermögensschonbeträge</w:t>
      </w:r>
    </w:p>
    <w:p>
      <w:r>
        <w:rPr>
          <w:color w:val="555555"/>
          <w:sz w:val="18"/>
        </w:rPr>
        <w:t xml:space="preserve">Verordnung zum Einkommen und Vermögen im SGB XIV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Kleinere Barbeträge oder sonstige Geldwerte, die nach § 105 Absatz 2 des Vierzehnten Buches Sozialgesetzbuch in Verbindung mit § 90 Absatz 2 Nummer 9 des Zwölften Buches Sozialgesetzbuch nicht eingesetzt oder nicht verwertet werden müssen (Vermögensschonbeträge), sind Beträge in Höhe</w:t>
      </w:r>
    </w:p>
    <w:p>
      <w:pPr>
        <w:ind w:left="420"/>
      </w:pPr>
      <w:r>
        <w:t xml:space="preserve">1. des 35-Fachen der Regelbedarfsstufe 1 bei Geschädigten mit Anspruch auf Leistungen bei Pflegebedürftigkeit nach Kapitel 7 des Vierzehnten Buches Sozialgesetzbuch bei einem Pflegegrad 2 bis 5 oder</w:t>
      </w:r>
    </w:p>
    <w:p>
      <w:pPr>
        <w:ind w:left="420"/>
      </w:pPr>
      <w:r>
        <w:t xml:space="preserve">2. des 25-Fachen der Regelbedarfsstufe 1 bei allen übrigen Berechtigten.</w:t>
      </w:r>
    </w:p>
    <w:p>
      <w:r>
        <w:t xml:space="preserve">(2) Der Betrag nach Absatz 1 erhöht sich</w:t>
      </w:r>
    </w:p>
    <w:p>
      <w:pPr>
        <w:ind w:left="420"/>
      </w:pPr>
      <w:r>
        <w:t xml:space="preserve">1. um das 25-Fache der Regelbedarfsstufe 1 für den nicht getrennt lebenden Ehepartner oder Partner einer eheähnlichen Gemeinschaft und</w:t>
      </w:r>
    </w:p>
    <w:p>
      <w:pPr>
        <w:ind w:left="420"/>
      </w:pPr>
      <w:r>
        <w:t xml:space="preserve">2. um das 2-Fache der Regelbedarfsstufe 1 für jede weitere Person, die überwiegend unterhalten wird</w:t>
      </w:r>
    </w:p>
    <w:p>
      <w:pPr>
        <w:ind w:left="780"/>
      </w:pPr>
      <w:r>
        <w:t xml:space="preserve">a) vom Berechtigten allein oder</w:t>
      </w:r>
    </w:p>
    <w:p>
      <w:pPr>
        <w:ind w:left="780"/>
      </w:pPr>
      <w:r>
        <w:t xml:space="preserve">b) vom Berechtigten zusammen mit dem nicht getrennt lebenden Ehepartner oder Partner einer eheähnlichen Gemeinschaft.</w:t>
      </w:r>
    </w:p>
    <w:p>
      <w:r>
        <w:t xml:space="preserve">(3) Für den Einsatz oder die Verwertung des Vermögens der Eltern oder eines Elternteils minderjähriger unverheirateter Berechtigter im Sinne des § 108 Absatz 3 des Vierzehnten Buches Sozialgesetzbuch gelten Absatz 1 und 2 entsprechend. Abweichend von Satz 1 gilt:</w:t>
      </w:r>
    </w:p>
    <w:p>
      <w:pPr>
        <w:ind w:left="420"/>
      </w:pPr>
      <w:r>
        <w:t xml:space="preserve">1. Leben die Eltern zusammen mit der geschädigten Person, ist abweichend von Absatz 2 jeweils ein Erhöhungsbetrag in Höhe des 25-Fachen der Regelbedarfsstufe 1 für jeden Elternteil sowie in Höhe des 2-Fachen der Regelbedarfsstufe 1 für die geschädigte Person und für jede Person, die von den Eltern oder der geschädigten Person überwiegend unterhalten wird, zu berücksichtigen.</w:t>
      </w:r>
    </w:p>
    <w:p>
      <w:pPr>
        <w:ind w:left="420"/>
      </w:pPr>
      <w:r>
        <w:t xml:space="preserve">2. Leben die Eltern nicht zusammen, ist abweichend von Absatz 2 ein Erhöhungsbetrag in Höhe des 25-Fachen der Regelbedarfsstufe 1 für den Elternteil, bei dem die geschädigte Person lebt, sowie in Höhe des 2-Fachen der Regelbedarfsstufe 1 für die geschädigte Person und für jede Person, die von dem Elternteil oder der geschädigten Person überwiegend unterhalten wird, zu berücksichtigen.</w:t>
      </w:r>
    </w:p>
    <w:p>
      <w:pPr>
        <w:ind w:left="420"/>
      </w:pPr>
      <w:r>
        <w:t xml:space="preserve">3. Lebt die geschädigte Person bei keinem Elternteil, bestimmen sich die Vermögensschonbeträge nach Absatz 1.</w:t>
      </w:r>
    </w:p>
    <w:p>
      <w:r>
        <w:rPr>
          <w:color w:val="555555"/>
          <w:sz w:val="17"/>
        </w:rPr>
        <w:t xml:space="preserve">Zitiervorschlag: § 3 EVV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