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EVV — Absetzbeträge</w:t>
      </w:r>
    </w:p>
    <w:p>
      <w:r>
        <w:rPr>
          <w:color w:val="555555"/>
          <w:sz w:val="18"/>
        </w:rPr>
        <w:t xml:space="preserve">Verordnung zum Einkommen und Vermögen im SGB XIV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Vom Einkommen sind zusätzlich zu den Beträgen nach dem Elften Kapitel des Zwölften Buches Sozialgesetzbuch und zu den Beträgen nach der Verordnung zur Durchführung des § 82 des Zwölften Buches Sozialgesetzbuch abzusetzen:</w:t>
      </w:r>
    </w:p>
    <w:p>
      <w:pPr>
        <w:ind w:left="420"/>
      </w:pPr>
      <w:r>
        <w:t xml:space="preserve">1. der Betrag zum allgemeinen Ausgleich der geminderten Lebensstellung nach Absatz 2,</w:t>
      </w:r>
    </w:p>
    <w:p>
      <w:pPr>
        <w:ind w:left="420"/>
      </w:pPr>
      <w:r>
        <w:t xml:space="preserve">2. der Betrag für Erwerbstätige nach Absatz 3,</w:t>
      </w:r>
    </w:p>
    <w:p>
      <w:pPr>
        <w:ind w:left="420"/>
      </w:pPr>
      <w:r>
        <w:t xml:space="preserve">3. Aufwendungen zur Erfüllung gesetzlicher Unterhaltsverpflichtungen bis zu dem Betrag, der in dem Unterhaltstitel oder in der notariell beurkundeten Unterhaltsvereinbarung festgelegt ist, und</w:t>
      </w:r>
    </w:p>
    <w:p>
      <w:pPr>
        <w:ind w:left="420"/>
      </w:pPr>
      <w:r>
        <w:t xml:space="preserve">4. bei Berechtigten, deren Einkommen nach dem Vierten Abschnitt des Bundesausbildungsförderungsgesetzes oder nach § 67 oder § 126 des Dritten Buches Sozialgesetzbuch bei der Berechnung der Leistungen der Ausbildungsförderung für mindestens ein Kind berücksichtigt wird, der nach den Vorschriften der Ausbildungsförderung berücksichtigte Betrag.</w:t>
      </w:r>
    </w:p>
    <w:p>
      <w:r>
        <w:t xml:space="preserve">(2) Der Absetzbetrag zum allgemeinen Ausgleich der geminderten Lebensstellung nach Absatz 1 Nummer 1 beträgt</w:t>
      </w:r>
    </w:p>
    <w:p>
      <w:pPr>
        <w:ind w:left="420"/>
      </w:pPr>
      <w:r>
        <w:t xml:space="preserve">1. 75 Prozent der Regelbedarfsstufe 1 nach der Anlage zu § 28 des Zwölften Buches Sozialgesetzbuch (Regelbedarfsstufe 1) bei Geschädigten mit Anspruch auf Leistungen bei Pflegebedürftigkeit nach Kapitel 7 des Vierzehnten Buches Sozialgesetzbuch bei einem Pflegegrad 2 bis 5,</w:t>
      </w:r>
    </w:p>
    <w:p>
      <w:pPr>
        <w:ind w:left="420"/>
      </w:pPr>
      <w:r>
        <w:t xml:space="preserve">2. 30 Prozent der Regelbedarfsstufe 1 bei Geschädigten mit Anspruch auf Berufsschadensausgleich nach Kapitel 10 des Vierzehnten Buches Sozialgesetzbuch,</w:t>
      </w:r>
    </w:p>
    <w:p>
      <w:pPr>
        <w:ind w:left="420"/>
      </w:pPr>
      <w:r>
        <w:t xml:space="preserve">3. 15 Prozent der Regelbedarfsstufe 1 bei Geschädigten mit einem Grad der Schädigungsfolgen von 50 bis 100 oder</w:t>
      </w:r>
    </w:p>
    <w:p>
      <w:pPr>
        <w:ind w:left="420"/>
      </w:pPr>
      <w:r>
        <w:t xml:space="preserve">4. 10 Prozent der Regelbedarfsstufe 1 bei Geschädigten mit einem Grad der Schädigungsfolgen von 30 bis 40 sowie bei Hinterbliebenen.</w:t>
      </w:r>
    </w:p>
    <w:p>
      <w:r>
        <w:t xml:space="preserve">Liegen die Voraussetzungen für mehrere Absetzbeträge nach Satz 1 vor, wird nur der höchste Absetzbetrag berücksichtigt.</w:t>
      </w:r>
    </w:p>
    <w:p>
      <w:r>
        <w:t xml:space="preserve">(3) Der Absetzbetrag für Erwerbstätige nach Absatz 1 Nummer 2 beträgt 50 Prozent der Regelbedarfsstufe 1. Er ist vom Nettoerwerbseinkommen abzusetzen. Von dem Nettoerwerbseinkommen, das diesen Absetzbetrag übersteigt, sind zusätzlich Beträge abzusetzen in Höhe von</w:t>
      </w:r>
    </w:p>
    <w:p>
      <w:pPr>
        <w:ind w:left="420"/>
      </w:pPr>
      <w:r>
        <w:t xml:space="preserve">1. 25 Prozent bei Geschädigten mit Anspruch auf Leistungen bei Pflegebedürftigkeit nach Kapitel 7 des Vierzehnten Buches Sozialgesetzbuch bei einem Pflegegrad 2 bis 5, wobei zusammen mit dem Absetzungsbetrag nach Satz 1 das 1,75-Fache der Regelbedarfsstufe 1 nicht überschritten werden darf,</w:t>
      </w:r>
    </w:p>
    <w:p>
      <w:pPr>
        <w:ind w:left="420"/>
      </w:pPr>
      <w:r>
        <w:t xml:space="preserve">2. 20 Prozent bei Geschädigten mit einem Grad der Schädigungsfolgen von 50 bis 100, wobei zusammen mit dem Absetzungsbetrag nach Satz 1 das 1,5-Fache der Regelbedarfsstufe 1 nicht überschritten werden darf, oder</w:t>
      </w:r>
    </w:p>
    <w:p>
      <w:pPr>
        <w:ind w:left="420"/>
      </w:pPr>
      <w:r>
        <w:t xml:space="preserve">3. 10 Prozent bei Geschädigten mit einem Grad der Schädigungsfolgen von 30 bis 40 sowie bei Hinterbliebenen, wobei zusammen mit dem Absetzungsbetrag nach Satz 1 das 1,25-Fache der Regelbedarfsstufe 1 nicht überschritten werden darf.</w:t>
      </w:r>
    </w:p>
    <w:p>
      <w:r>
        <w:t xml:space="preserve">Liegen die Voraussetzungen für mehrere Absetzbeträge nach Satz 3 vor, wird nur der höchste Absetzbetrag berücksichtigt.</w:t>
      </w:r>
    </w:p>
    <w:p>
      <w:r>
        <w:t xml:space="preserve">(4) Bei einem Aufenthalt in einer stationären oder teilstationären Einrichtung sind Absetzbeträge nach den Absätzen 2 und 3 nur in besonders begründeten Fällen anzuerkennen.</w:t>
      </w:r>
    </w:p>
    <w:p>
      <w:r>
        <w:rPr>
          <w:color w:val="555555"/>
          <w:sz w:val="17"/>
        </w:rPr>
        <w:t xml:space="preserve">Zitiervorschlag: § 2 EVV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