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EVV — Einkommen</w:t>
      </w:r>
    </w:p>
    <w:p>
      <w:r>
        <w:rPr>
          <w:color w:val="555555"/>
          <w:sz w:val="18"/>
        </w:rPr>
        <w:t xml:space="preserve">Verordnung zum Einkommen und Vermögen im SGB XIV</w:t>
      </w:r>
    </w:p>
    <w:p>
      <w:r>
        <w:rPr>
          <w:color w:val="555555"/>
          <w:sz w:val="18"/>
        </w:rPr>
        <w:t xml:space="preserve">Stand: 22.01.2026 (konsolidierte Textfassung, kein amtliches Inkrafttretensdatum)</w:t>
      </w:r>
    </w:p>
    <w:p>
      <w:r>
        <w:t xml:space="preserve">(1) Zum Einkommen nach Kapitel 16 des Vierzehnten Buches Sozialgesetzbuch gehören alle Einkünfte in Geld oder Geldeswert, soweit nicht diese Verordnung, das Elfte Kapitel des Zwölften Buches Sozialgesetzbuch und die Verordnung zur Durchführung des § 82 des Zwölften Buches Sozialgesetzbuch bestimmen, dass bestimmte Einkünfte nicht als Einkommen gelten.</w:t>
      </w:r>
    </w:p>
    <w:p>
      <w:r>
        <w:t xml:space="preserve">(2) Nicht als Einkommen gelten Weihnachts- und Neujahrsgratifikationen, die als solche ausgewiesen sind,</w:t>
      </w:r>
    </w:p>
    <w:p>
      <w:pPr>
        <w:ind w:left="420"/>
      </w:pPr>
      <w:r>
        <w:t xml:space="preserve">1. bis zu einem Zwölftel der jährlichen Einkünfte, mit dem diese Leistungen im Zusammenhang stehen, oder</w:t>
      </w:r>
    </w:p>
    <w:p>
      <w:pPr>
        <w:ind w:left="420"/>
      </w:pPr>
      <w:r>
        <w:t xml:space="preserve">2. bis zu dem Betrag, der den Einkünften für den Monat entspricht, der bei der Berechnung der Leistungen zugrunde gelegt wird.</w:t>
      </w:r>
    </w:p>
    <w:p>
      <w:r>
        <w:rPr>
          <w:color w:val="555555"/>
          <w:sz w:val="17"/>
        </w:rPr>
        <w:t xml:space="preserve">Zitiervorschlag: § 1 EVV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