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EVTZVODG (Sachsen) — Inkrafttreten, Außerkrafttreten</w:t>
      </w:r>
    </w:p>
    <w:p>
      <w:r>
        <w:rPr>
          <w:color w:val="555555"/>
          <w:sz w:val="18"/>
        </w:rPr>
        <w:t xml:space="preserve">Gesetz zur Durchführung der Verordnung über den Europäischen Verbund für territoriale Zusammenarbeit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Gleichzeitig tritt die EVTZ-Zuständigkeitsverordnung vom 2. Januar 2008 (SächsGVBl. S. 78), die zuletzt durch Artikel 1 der Verordnung vom 1. März 2012 (SächsGVBl. S. 173) geändert worden ist, außer Kraft.</w:t>
      </w:r>
    </w:p>
    <w:p>
      <w:r>
        <w:t xml:space="preserve">Dresden, den 2. August 2019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des Innern</w:t>
      </w:r>
    </w:p>
    <w:p>
      <w:r>
        <w:t xml:space="preserve">Prof. Dr. Roland Wöller</w:t>
      </w:r>
    </w:p>
    <w:p>
      <w:r>
        <w:rPr>
          <w:color w:val="555555"/>
          <w:sz w:val="17"/>
        </w:rPr>
        <w:t xml:space="preserve">Zitiervorschlag: § 5 EVTZVODG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https://recht.nulegal.eu/gesetze/EVTZVODG/5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