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EVTZHaftbG (Brandenburg) — Inkrafttreten</w:t>
      </w:r>
    </w:p>
    <w:p>
      <w:r>
        <w:rPr>
          <w:color w:val="555555"/>
          <w:sz w:val="18"/>
        </w:rPr>
        <w:t xml:space="preserve">EVTZ-Haftungsbeschränkungsgesetz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Einzelnorm</w:t>
      </w:r>
    </w:p>
    <w:p>
      <w:r>
        <w:t xml:space="preserve">Potsdam, den 18. Dezember 2020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2 EVTZHaftbG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https://recht.nulegal.eu/gesetze/EVTZHaftbG/2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