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EVO 2023</w:t>
      </w:r>
    </w:p>
    <w:p>
      <w:r>
        <w:rPr>
          <w:color w:val="555555"/>
          <w:sz w:val="18"/>
        </w:rPr>
        <w:t xml:space="preserve">Eisenbahnverkehrs-Verordnung</w:t>
      </w:r>
    </w:p>
    <w:p>
      <w:r>
        <w:rPr>
          <w:color w:val="555555"/>
          <w:sz w:val="18"/>
        </w:rPr>
        <w:t xml:space="preserve">Stand: 08.08.2023 (konsolidierte Textfassung, kein amtliches Inkrafttretensdatum)</w:t>
      </w:r>
    </w:p>
    <w:p>
      <w:r>
        <w:t xml:space="preserve">Auf Grund des § 26 Absatz 1 Satz 1 Nummer 1a und 1b in Verbindung mit Absatz 3 Satz 2 des Allgemeinen Eisenbahngesetzes vom 27. Dezember 1993 (BGBl. I S. 2378, 2396; 1994 I S. 2439), der zuletzt durch Artikel 1 Nummer 9 des Gesetzes vom 26. Juli 2023 (BGBl. 2023 I Nr. 205) geändert worden ist, verordnet das Bundesministerium für Digitales und Verkehr im Einvernehmen mit dem Bundesministerium der Justiz:</w:t>
      </w:r>
    </w:p>
    <w:p>
      <w:r>
        <w:rPr>
          <w:color w:val="555555"/>
          <w:sz w:val="17"/>
        </w:rPr>
        <w:t xml:space="preserve">Zitiervorschlag: Eingangsformel EVO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https://recht.nulegal.eu/gesetze/EVO%202023/eingangsformel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