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EVO 2023 — Nachzahlung oder Erstattung bei falscher Höhe des Beförderungsentgelts</w:t>
      </w:r>
    </w:p>
    <w:p>
      <w:r>
        <w:rPr>
          <w:color w:val="555555"/>
          <w:sz w:val="18"/>
        </w:rPr>
        <w:t xml:space="preserve">Eisenbahnverkehrs-Verordnung</w:t>
      </w:r>
    </w:p>
    <w:p>
      <w:r>
        <w:rPr>
          <w:color w:val="555555"/>
          <w:sz w:val="18"/>
        </w:rPr>
        <w:t xml:space="preserve">Stand: 08.08.2023 (konsolidierte Textfassung, kein amtliches Inkrafttretensdatum)</w:t>
      </w:r>
    </w:p>
    <w:p>
      <w:r>
        <w:t xml:space="preserve">(1) Ist das Beförderungsentgelt eines Fahrausweises falsch erhoben worden, so muss der Unterschied zum richtigen Beförderungsentgelt</w:t>
      </w:r>
    </w:p>
    <w:p>
      <w:pPr>
        <w:ind w:left="420"/>
      </w:pPr>
      <w:r>
        <w:t xml:space="preserve">1. vom Reisenden nachgezahlt werden, wenn der erhobene Betrag zu niedrig gewesen ist, oder</w:t>
      </w:r>
    </w:p>
    <w:p>
      <w:pPr>
        <w:ind w:left="420"/>
      </w:pPr>
      <w:r>
        <w:t xml:space="preserve">2. vom Eisenbahnverkehrsunternehmen erstattet werden, wenn der erhobene Betrag zu hoch gewesen ist.</w:t>
      </w:r>
    </w:p>
    <w:p>
      <w:r>
        <w:t xml:space="preserve">(2) Der Anspruch auf Nachzahlung oder Erstattung erlischt, wenn er nicht innerhalb eines Jahres nach Ablauf der Geltungsdauer des Fahrausweises geltend gemacht wird.</w:t>
      </w:r>
    </w:p>
    <w:p>
      <w:r>
        <w:rPr>
          <w:color w:val="555555"/>
          <w:sz w:val="17"/>
        </w:rPr>
        <w:t xml:space="preserve">Zitiervorschlag: § 8 EVO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https://recht.nulegal.eu/gesetze/EVO%202023/8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