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EVO 2023 — Erhöhtes Beförderungsentgelt</w:t>
      </w:r>
    </w:p>
    <w:p>
      <w:r>
        <w:rPr>
          <w:color w:val="555555"/>
          <w:sz w:val="18"/>
        </w:rPr>
        <w:t xml:space="preserve">Eisenbahnverkehrs-Verordnung</w:t>
      </w:r>
    </w:p>
    <w:p>
      <w:r>
        <w:rPr>
          <w:color w:val="555555"/>
          <w:sz w:val="18"/>
        </w:rPr>
        <w:t xml:space="preserve">Stand: 08.08.2023 (konsolidierte Textfassung, kein amtliches Inkrafttretensdatum)</w:t>
      </w:r>
    </w:p>
    <w:p>
      <w:r>
        <w:t xml:space="preserve">(1) Ein Reisender ist zur Zahlung eines erhöhten Beförderungsentgelts verpflichtet, wenn er</w:t>
      </w:r>
    </w:p>
    <w:p>
      <w:pPr>
        <w:ind w:left="420"/>
      </w:pPr>
      <w:r>
        <w:t xml:space="preserve">1. bei Antritt der Reise nicht mit einem gültigen Fahrausweis versehen ist oder</w:t>
      </w:r>
    </w:p>
    <w:p>
      <w:pPr>
        <w:ind w:left="420"/>
      </w:pPr>
      <w:r>
        <w:t xml:space="preserve">2. sich einen gültigen Fahrausweis beschafft hat, ihn jedoch bei einer Kontrolle der Fahrausweise nicht vorzeigen kann oder nicht aushändigt.</w:t>
      </w:r>
    </w:p>
    <w:p>
      <w:r>
        <w:t xml:space="preserve">(2) Das erhöhte Beförderungsentgelt nach Absatz 1 beträgt das Doppelte des gewöhnlichen Beförderungsentgelts für die vom Reisenden zurückgelegte Strecke, mindestens jedoch 60 Euro. Das erhöhte Beförderungsentgelt kann für die ganze vom Zug zurückgelegte Strecke berechnet werden, wenn der Reisende nicht glaubhaft macht, dass er eine kürzere Strecke gefahren ist.</w:t>
      </w:r>
    </w:p>
    <w:p>
      <w:r>
        <w:t xml:space="preserve">(3) Das erhöhte Beförderungsentgelt ermäßigt sich im Fall des Absatzes 1 Nummer 2 auf 7 Euro, wenn der Reisende innerhalb einer Woche ab dem Feststellungstag bei dem befördernden Eisenbahnverkehrsunternehmen nachweist, dass er im Zeitpunkt der Feststellung Inhaber eines gültigen Fahrausweises war.</w:t>
      </w:r>
    </w:p>
    <w:p>
      <w:r>
        <w:t xml:space="preserve">(4) Die Verpflichtung zur Zahlung des erhöhten Beförderungsentgelts entfällt, wenn der Reisende vor Beginn der Fahrt keinen Fahrausweis erwerben konnte, weil am Abfahrtsbahnhof oder Abfahrtshaltepunkt</w:t>
      </w:r>
    </w:p>
    <w:p>
      <w:pPr>
        <w:ind w:left="420"/>
      </w:pPr>
      <w:r>
        <w:t xml:space="preserve">1. ein Fahrkartenschalter nicht vorhanden oder nicht geöffnet gewesen ist und</w:t>
      </w:r>
    </w:p>
    <w:p>
      <w:pPr>
        <w:ind w:left="420"/>
      </w:pPr>
      <w:r>
        <w:t xml:space="preserve">2. ein Fahrkartenautomat nicht vorhanden oder nicht betriebsbereit gewesen ist.</w:t>
      </w:r>
    </w:p>
    <w:p>
      <w:r>
        <w:t xml:space="preserve">(5) Artikel 11 Absatz 4 der Verordnung (EU) 2021/782 bleibt unberührt.</w:t>
      </w:r>
    </w:p>
    <w:p>
      <w:r>
        <w:rPr>
          <w:color w:val="555555"/>
          <w:sz w:val="17"/>
        </w:rPr>
        <w:t xml:space="preserve">Zitiervorschlag: § 6 EVO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https://recht.nulegal.eu/gesetze/EVO%202023/6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