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EVO 2023 — Inkrafttreten, Außerkrafttreten</w:t>
      </w:r>
    </w:p>
    <w:p>
      <w:r>
        <w:rPr>
          <w:color w:val="555555"/>
          <w:sz w:val="18"/>
        </w:rPr>
        <w:t xml:space="preserve">Eisenbahnverkehrs-Verordnung</w:t>
      </w:r>
    </w:p>
    <w:p>
      <w:r>
        <w:rPr>
          <w:color w:val="555555"/>
          <w:sz w:val="18"/>
        </w:rPr>
        <w:t xml:space="preserve">Stand: 08.08.2023 (konsolidierte Textfassung, kein amtliches Inkrafttretensdatum)</w:t>
      </w:r>
    </w:p>
    <w:p>
      <w:r>
        <w:t xml:space="preserve">Diese Verordnung tritt am Tag nach der Verkündung in Kraft. Gleichzeitig tritt die Eisenbahn-Verkehrsordnung in der Fassung der Bekanntmachung vom 20. April 1999 (BGBl. I S. 782), die zuletzt durch Artikel 9 des Gesetzes vom 30. November 2019 (BGBl. I S. 1942) geändert worden ist, außer Kraft.</w:t>
      </w:r>
    </w:p>
    <w:p>
      <w:r>
        <w:rPr>
          <w:color w:val="555555"/>
          <w:sz w:val="17"/>
        </w:rPr>
        <w:t xml:space="preserve">Zitiervorschlag: § 16 EVO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https://recht.nulegal.eu/gesetze/EVO%202023/16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