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EVO 2023 — Haftung</w:t>
      </w:r>
    </w:p>
    <w:p>
      <w:r>
        <w:rPr>
          <w:color w:val="555555"/>
          <w:sz w:val="18"/>
        </w:rPr>
        <w:t xml:space="preserve">Eisenbahnverkehrs-Verordnung</w:t>
      </w:r>
    </w:p>
    <w:p>
      <w:r>
        <w:rPr>
          <w:color w:val="555555"/>
          <w:sz w:val="18"/>
        </w:rPr>
        <w:t xml:space="preserve">Stand: 08.08.2023 (konsolidierte Textfassung, kein amtliches Inkrafttretensdatum)</w:t>
      </w:r>
    </w:p>
    <w:p>
      <w:r>
        <w:t xml:space="preserve">(1) Die aufbewahrende Eisenbahn haftet für Reise- und Handgepäck, das sie zur Aufbewahrung annimmt, als Verwahrer.</w:t>
      </w:r>
    </w:p>
    <w:p>
      <w:r>
        <w:t xml:space="preserve">(2) Die aufbewahrende Eisenbahn haftet nicht für Gegenstände, die in unverpackt oder mangelhaft verpackt zur Aufbewahrung übergebenen Kleidungsstücken enthalten sind.</w:t>
      </w:r>
    </w:p>
    <w:p>
      <w:r>
        <w:t xml:space="preserve">(3) Außer bei Vorsatz und grober Fahrlässigkeit kann der Tarif die Haftung auf einen Höchstbetrag beschränken.</w:t>
      </w:r>
    </w:p>
    <w:p>
      <w:r>
        <w:t xml:space="preserve">(4) Die Haftung für Reise- und Handgepäck, das in Schließfächern aufbewahrt wird, richtet sich nach den Bedingungen des jeweiligen Unternehmens für die Vermietung von Schließfächern.</w:t>
      </w:r>
    </w:p>
    <w:p>
      <w:r>
        <w:rPr>
          <w:color w:val="555555"/>
          <w:sz w:val="17"/>
        </w:rPr>
        <w:t xml:space="preserve">Zitiervorschlag: § 14 EVO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https://recht.nulegal.eu/gesetze/EVO%202023/14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EVO 2023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