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EVO 2023 — Anwendungsbereich</w:t>
      </w:r>
    </w:p>
    <w:p>
      <w:r>
        <w:rPr>
          <w:color w:val="555555"/>
          <w:sz w:val="18"/>
        </w:rPr>
        <w:t xml:space="preserve">Eisenbahnverkehrs-Verordnung</w:t>
      </w:r>
    </w:p>
    <w:p>
      <w:r>
        <w:rPr>
          <w:color w:val="555555"/>
          <w:sz w:val="18"/>
        </w:rPr>
        <w:t xml:space="preserve">Stand: 08.08.2023 (konsolidierte Textfassung, kein amtliches Inkrafttretensdatum)</w:t>
      </w:r>
    </w:p>
    <w:p>
      <w:r>
        <w:t xml:space="preserve">Auf die Beförderung von Personen und Reisegepäck durch Eisenbahnverkehrsunternehmen sind die Vorschriften dieser Verordnung anzuwenden, soweit nicht</w:t>
      </w:r>
    </w:p>
    <w:p>
      <w:pPr>
        <w:ind w:left="420"/>
      </w:pPr>
      <w:r>
        <w:t xml:space="preserve">1. das Übereinkommen vom 9. Mai 1980 über den internationalen Eisenbahnverkehr (COTIF) in der Fassung des Änderungsprotokolls vom 3. Juni 1999 (BGBl. 2002 II S. 2140, 2142, 2149), in der jeweils geltenden Fassung oder</w:t>
      </w:r>
    </w:p>
    <w:p>
      <w:pPr>
        <w:ind w:left="420"/>
      </w:pPr>
      <w:r>
        <w:t xml:space="preserve">2. Vorschriften der Verordnung (EU) 2021/782 des Europäischen Parlaments und des Rates vom 29. April 2021 über die Rechte und Pflichten der Fahrgäste im Eisenbahnverkehr (ABl. L 172 vom 17.5.2021, S. 1) in der jeweils geltenden Fassung</w:t>
      </w:r>
    </w:p>
    <w:p>
      <w:r>
        <w:t xml:space="preserve">inhaltsgleiche oder entgegenstehende Regelungen enthalten.</w:t>
      </w:r>
    </w:p>
    <w:p>
      <w:r>
        <w:rPr>
          <w:color w:val="555555"/>
          <w:sz w:val="17"/>
        </w:rPr>
        <w:t xml:space="preserve">Zitiervorschlag: § 1 EVO 2023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https://recht.nulegal.eu/gesetze/EVO%202023/1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