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EV-BodenseeSchO (Bayern) — (zu § 7 Abs. 1)</w:t>
      </w:r>
    </w:p>
    <w:p>
      <w:r>
        <w:rPr>
          <w:color w:val="555555"/>
          <w:sz w:val="18"/>
        </w:rPr>
        <w:t xml:space="preserve">Verordnung zur Einführung der Verordnung über die Schiffahrt auf dem Bodensee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 der Binnenschiffsuntersuchungsordnung sind anwendbar:</w:t>
      </w:r>
    </w:p>
    <w:p>
      <w:r>
        <w:t xml:space="preserve">1. aus dem Anhang II nach Maßgabe des Anhangs IV und der Art. 1 bis 4 des Anhangs XII die folgenden Paragrafen:</w:t>
      </w:r>
    </w:p>
    <w:p>
      <w:r>
        <w:t xml:space="preserve">1.01, soweit Art. 0.02 BSO keine Begriffsbestimmung regelt; 1.02</w:t>
      </w:r>
    </w:p>
    <w:p>
      <w:r>
        <w:t xml:space="preserve">2.03, 2.10, 2.12, 2.16</w:t>
      </w:r>
    </w:p>
    <w:p>
      <w:r>
        <w:t xml:space="preserve">3.01 bis 3.04</w:t>
      </w:r>
    </w:p>
    <w:p>
      <w:r>
        <w:t xml:space="preserve">4.01 bis 4.05</w:t>
      </w:r>
    </w:p>
    <w:p>
      <w:r>
        <w:t xml:space="preserve">5.01 bis 5.05, 5.07 bis 5.10</w:t>
      </w:r>
    </w:p>
    <w:p>
      <w:r>
        <w:t xml:space="preserve">6.01 bis 6.09</w:t>
      </w:r>
    </w:p>
    <w:p>
      <w:r>
        <w:t xml:space="preserve">7.01 bis 7.04, 7.05 ohne Nr. 1, 7.06 bis 7.10, 7.12</w:t>
      </w:r>
    </w:p>
    <w:p>
      <w:r>
        <w:t xml:space="preserve">8.01 ohne Nr. 3, 8.02 bis 8.04,</w:t>
      </w:r>
    </w:p>
    <w:p>
      <w:r>
        <w:t xml:space="preserve">8.05 bis 8.07 ohne die Alternative „in zum Schiffskörper gehörenden Tanks“ in der jeweiligen Nr. 1,</w:t>
      </w:r>
    </w:p>
    <w:p>
      <w:r>
        <w:t xml:space="preserve">8.08 und 8.09</w:t>
      </w:r>
    </w:p>
    <w:p>
      <w:r>
        <w:t xml:space="preserve">9.01 bis 9.21</w:t>
      </w:r>
    </w:p>
    <w:p>
      <w:r>
        <w:t xml:space="preserve">10.01 ohne die Nrn. 3, 4, 6 Abs. 2, 10;</w:t>
      </w:r>
    </w:p>
    <w:p>
      <w:r>
        <w:t xml:space="preserve">10.03 bis 10.03 c</w:t>
      </w:r>
    </w:p>
    <w:p>
      <w:r>
        <w:t xml:space="preserve">11.01 bis 11.13</w:t>
      </w:r>
    </w:p>
    <w:p>
      <w:r>
        <w:t xml:space="preserve">12.01 bis 12.07</w:t>
      </w:r>
    </w:p>
    <w:p>
      <w:r>
        <w:t xml:space="preserve">13.01 bis 13.07</w:t>
      </w:r>
    </w:p>
    <w:p>
      <w:r>
        <w:t xml:space="preserve">14.01 bis 14.15</w:t>
      </w:r>
    </w:p>
    <w:p>
      <w:r>
        <w:t xml:space="preserve">15.01 Nr. 1 bis 3;</w:t>
      </w:r>
    </w:p>
    <w:p>
      <w:r>
        <w:t xml:space="preserve">15.01 Nr. 4 ohne Satz 3;</w:t>
      </w:r>
    </w:p>
    <w:p>
      <w:r>
        <w:t xml:space="preserve">15.06 ohne die Nrn. 6 b), 8 und 12; 15.08; 15.09 ohne die Nrn. 1, 4 und 10; 15.10 bis 15.13;</w:t>
      </w:r>
    </w:p>
    <w:p>
      <w:r>
        <w:t xml:space="preserve">15.15, soweit die Grundsätze, von denen abgewichen wird, anwendbar sind</w:t>
      </w:r>
    </w:p>
    <w:p>
      <w:r>
        <w:t xml:space="preserve">16.01 bis 16.07</w:t>
      </w:r>
    </w:p>
    <w:p>
      <w:r>
        <w:t xml:space="preserve">17.01 bis 17.10</w:t>
      </w:r>
    </w:p>
    <w:p>
      <w:r>
        <w:t xml:space="preserve">18.01 bis 18.05</w:t>
      </w:r>
    </w:p>
    <w:p>
      <w:r>
        <w:t xml:space="preserve">22.01 bis 22.04</w:t>
      </w:r>
    </w:p>
    <w:p>
      <w:r>
        <w:t xml:space="preserve">22a.01 bis 22a.06</w:t>
      </w:r>
    </w:p>
    <w:p>
      <w:r>
        <w:t xml:space="preserve">Anlage I</w:t>
      </w:r>
    </w:p>
    <w:p>
      <w:r>
        <w:t xml:space="preserve">2. aus Anhang IX die Teile III bis VIII,</w:t>
      </w:r>
    </w:p>
    <w:p>
      <w:r>
        <w:t xml:space="preserve">3. Anhang VII,</w:t>
      </w:r>
    </w:p>
    <w:p>
      <w:r>
        <w:t xml:space="preserve">4. aus Anhang X</w:t>
      </w:r>
    </w:p>
    <w:p>
      <w:r>
        <w:t xml:space="preserve">a) die Vorschriften des Teils I ohne §§ 1.03, 1.04, 1.05 und 2.05,</w:t>
      </w:r>
    </w:p>
    <w:p>
      <w:r>
        <w:t xml:space="preserve">b) die Vorschriften des Kapitels 7 ohne § 7.02 Nr. 2,</w:t>
      </w:r>
    </w:p>
    <w:p>
      <w:r>
        <w:t xml:space="preserve">c) die Vorschriften des Kapitels 9 ohne § 9.14.</w:t>
      </w:r>
    </w:p>
    <w:p>
      <w:r>
        <w:t xml:space="preserve">In Bezug auf die Anwendung der Anhänge II, IV und XII werden Fähren den Fahrgastschiffen gleichgestellt. Soweit § 2.02 Anhang X auf § 15.03 Anhang II verweist, gelten die entsprechenden Bestimmungen der Anlage 3 dieser Verordnung.</w:t>
      </w:r>
    </w:p>
    <w:p>
      <w:r>
        <w:t xml:space="preserve">5. aus Anhang XII die Art. 5 und 6.</w:t>
      </w:r>
    </w:p>
    <w:p>
      <w:r>
        <w:t xml:space="preserve">6. Abweichend gelten folgende Begriffe:</w:t>
      </w:r>
    </w:p>
    <w:p>
      <w:r>
        <w:t xml:space="preserve">Statt</w:t>
      </w:r>
    </w:p>
    <w:p>
      <w:r>
        <w:t xml:space="preserve">gilt</w:t>
      </w:r>
    </w:p>
    <w:p>
      <w:r>
        <w:t xml:space="preserve">Gemeinschaftszeugnis,</w:t>
      </w:r>
    </w:p>
    <w:p>
      <w:r>
        <w:t xml:space="preserve">Fahrtauglichkeitsbescheinigung</w:t>
      </w:r>
    </w:p>
    <w:p>
      <w:r>
        <w:t xml:space="preserve">Zulassungsurkunde</w:t>
      </w:r>
    </w:p>
    <w:p>
      <w:r>
        <w:t xml:space="preserve">modifiziertes C2-Patent</w:t>
      </w:r>
    </w:p>
    <w:p>
      <w:r>
        <w:t xml:space="preserve">nach der BSO erforderliches Bodenseeschifferpatent.</w:t>
      </w:r>
    </w:p>
    <w:p>
      <w:r>
        <w:rPr>
          <w:color w:val="555555"/>
          <w:sz w:val="17"/>
        </w:rPr>
        <w:t xml:space="preserve">Zitiervorschlag: Anlage 2 EV-BodenseeSchO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https://recht.nulegal.eu/gesetze/EV-BodenseeSchO/anlage-2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EV-BodenseeSchO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