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EV-BodenseeSchO (Bayern) — Verkehr in Häfen und an Landestellen, örtlicher Schiffsverkehr</w:t>
      </w:r>
    </w:p>
    <w:p>
      <w:r>
        <w:rPr>
          <w:color w:val="555555"/>
          <w:sz w:val="18"/>
        </w:rPr>
        <w:t xml:space="preserve">Verordnung zur Einführung der Verordnung über die Schiffahrt auf dem Bodensee</w:t>
      </w:r>
    </w:p>
    <w:p>
      <w:r>
        <w:rPr>
          <w:color w:val="555555"/>
          <w:sz w:val="18"/>
        </w:rPr>
        <w:t xml:space="preserve">Landesrecht Bayern</w:t>
      </w:r>
    </w:p>
    <w:p>
      <w:r>
        <w:rPr>
          <w:color w:val="555555"/>
          <w:sz w:val="18"/>
        </w:rPr>
        <w:t xml:space="preserve">Stand: 25.08.2026 (konsolidierte Textfassung, kein amtliches Inkrafttretensdatum)</w:t>
      </w:r>
    </w:p>
    <w:p>
      <w:r>
        <w:t xml:space="preserve">(1) Im Hafen hat sich jeder so zu verhalten, dass die Sicherheit und der ordnungsgemäße Betrieb des Hafens oder der Hafenanlagen oder die Umwelt nicht beeinträchtigt werden und dass kein anderer geschädigt, gefährdet oder mehr als nach den Umständen unvermeidbar behindert oder belästigt wird.</w:t>
      </w:r>
    </w:p>
    <w:p>
      <w:r>
        <w:t xml:space="preserve">(2) Die zuständige Behörde kann von den Vorschriften der Bodensee-Schifffahrts-Ordnung abweichende Regelungen treffen, soweit dies zur Regelung besonderer örtlicher Verhältnisse sowie des Verkehrs und des Betriebs in Häfen erforderlich ist. Sie kann die Benutzung der Häfen regeln, soweit dies zur Gewährleistung der Sicherheit und Leichtigkeit des Verkehrs oder des Betriebs erforderlich ist. Bei einer Regelung nach Sätzen 1 und 2 sind die Grundsätze des Übereinkommens über die Schifffahrt auf dem Bodensee und der Anlage 1 zu beachten.</w:t>
      </w:r>
    </w:p>
    <w:p>
      <w:r>
        <w:rPr>
          <w:color w:val="555555"/>
          <w:sz w:val="17"/>
        </w:rPr>
        <w:t xml:space="preserve">Zitiervorschlag: § 9 EV-BodenseeSchO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https://recht.nulegal.eu/gesetze/EV-BodenseeSchO/9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