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EV-BodenseeSchO (Bayern) — Geltung der Binnenschiffsuntersuchungsordnung</w:t>
      </w:r>
    </w:p>
    <w:p>
      <w:r>
        <w:rPr>
          <w:color w:val="555555"/>
          <w:sz w:val="18"/>
        </w:rPr>
        <w:t xml:space="preserve">Verordnung zur Einführung der Verordnung über die Schiffahrt auf dem Bodensee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Für die Anforderungen an Bau und Einrichtung von Fahrzeugen, schwimmenden Anlagen und Schwimmkörpern sowie für das Verfahren für die technische Zulassung zum Verkehr sind die in Anlage 2 aufgeführten Vorschriften der Verordnung über die Schiffssicherheit in der Binnenschifffahrt (Binnenschiffsuntersuchungsordnung – BinSchUO) vom 6. Dezember 2008 (BGBl I S. 2450) in der jeweils geltenden Fassung insoweit anzuwenden, als sich deren Bestimmungen auf Wasserstraßen der Zone 4 im Sinn von Anhang I BinSchUO beziehen.</w:t>
      </w:r>
    </w:p>
    <w:p>
      <w:r>
        <w:t xml:space="preserve">(2) Für Fahrgastschiffe gelten zusätzlich die in Anlage 3 aufgeführten Sonderbestimmungen.</w:t>
      </w:r>
    </w:p>
    <w:p>
      <w:r>
        <w:rPr>
          <w:color w:val="555555"/>
          <w:sz w:val="17"/>
        </w:rPr>
        <w:t xml:space="preserve">Zitiervorschlag: § 7 EV-BodenseeSchO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https://recht.nulegal.eu/gesetze/EV-BodenseeSchO/7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