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EV-BodenseeSchO (Bayern) — Schifferpatent für Fahrzeuge der Wasserschutzpolizei</w:t>
      </w:r>
    </w:p>
    <w:p>
      <w:r>
        <w:rPr>
          <w:color w:val="555555"/>
          <w:sz w:val="18"/>
        </w:rPr>
        <w:t xml:space="preserve">Verordnung zur Einführung der Verordnung über die Schiffahrt auf dem Bodensee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Schifferpatentbewerber, die Fahrzeuge der Wasserschutzpolizei führen wollen, werden von ihrer zuständigen Dienststelle geprüft. Diese bestimmt die Einzelheiten des Prüfungsverfahrens und stellt das Patent zum Führen der Dienstfahrzeuge aus.</w:t>
      </w:r>
    </w:p>
    <w:p>
      <w:r>
        <w:rPr>
          <w:color w:val="555555"/>
          <w:sz w:val="17"/>
        </w:rPr>
        <w:t xml:space="preserve">Zitiervorschlag: § 6 EV-BodenseeSchO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https://recht.nulegal.eu/gesetze/EV-BodenseeSchO/6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