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EV-BodenseeSchO (Bayern) — Schifferpatentprüfung</w:t>
      </w:r>
    </w:p>
    <w:p>
      <w:r>
        <w:rPr>
          <w:color w:val="555555"/>
          <w:sz w:val="18"/>
        </w:rPr>
        <w:t xml:space="preserve">Verordnung zur Einführung der Verordnung über die Schiffahrt auf dem Bodensee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Der Vorsitzende des Prüfungsausschusses bestimmt Zeit und Ort der Prüfung. Der Bewerber hat ein Fahrzeug der Kategorie, für die er seine Befähigung nachweisen will, für die Prüfung bereitzustellen.</w:t>
      </w:r>
    </w:p>
    <w:p>
      <w:r>
        <w:t xml:space="preserve">(2) Über das Ergebnis der Prüfung ist eine Niederschrift zu fertigen. Hat der Bewerber die Prüfung nicht bestanden, müssen die Gründe aus der Niederschrift ersichtlich sein.</w:t>
      </w:r>
    </w:p>
    <w:p>
      <w:r>
        <w:t xml:space="preserve">(3) Nach bestandener Prüfung stellt die zuständige Behörde dem Bewerber das Schifferpatent aus.</w:t>
      </w:r>
    </w:p>
    <w:p>
      <w:r>
        <w:t xml:space="preserve">(4) Die Prüfung darf bei Nichtbestehen nach Ablauf eines angemessenen Zeitraums (in der Regel nicht weniger als 2 Wochen) wiederholt werden.</w:t>
      </w:r>
    </w:p>
    <w:p>
      <w:r>
        <w:t xml:space="preserve">(5) Die Einzelheiten des Prüfungsverfahrens werden in einer Prüfungsordnung geregelt, die vom Staatsministerium für Wohnen, Bau und Verkehr erlassen wird.</w:t>
      </w:r>
    </w:p>
    <w:p>
      <w:r>
        <w:rPr>
          <w:color w:val="555555"/>
          <w:sz w:val="17"/>
        </w:rPr>
        <w:t xml:space="preserve">Zitiervorschlag: § 5 EV-BodenseeSchO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https://recht.nulegal.eu/gesetze/EV-BodenseeSchO/5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