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EUrlDbV (Brandenburg) — Wartezeit</w:t>
      </w:r>
    </w:p>
    <w:p>
      <w:r>
        <w:rPr>
          <w:color w:val="555555"/>
          <w:sz w:val="18"/>
        </w:rPr>
        <w:t xml:space="preserve">Erholungsurlaubs- und Dienstbefreiungsverordnung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Erholungsurlaub kann erst sechs Monate nach der Einstellung in den öffentlichen Dienst (Wartezeit) beansprucht werden. Aus besonderen Gründen kann Erholungsurlaub vor Ablauf der Wartezeit genehmigt werden.</w:t>
      </w:r>
    </w:p>
    <w:p>
      <w:r>
        <w:t xml:space="preserve">(2) Die Wartezeit jugendlicher Beamtinnen oder Beamter beträgt drei Monate.</w:t>
      </w:r>
    </w:p>
    <w:p>
      <w:r>
        <w:rPr>
          <w:color w:val="555555"/>
          <w:sz w:val="17"/>
        </w:rPr>
        <w:t xml:space="preserve">Zitiervorschlag: § 6 EUrlDbV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https://recht.nulegal.eu/gesetze/EUrlDbV/6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