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EUrlDbV (Brandenburg) — Lage des Erholungsurlaubs in besonderen Fällen</w:t>
      </w:r>
    </w:p>
    <w:p>
      <w:r>
        <w:rPr>
          <w:color w:val="555555"/>
          <w:sz w:val="18"/>
        </w:rPr>
        <w:t xml:space="preserve">Erholungsurlaubs- und Dienstbefreiungsverordnung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Lehrkräfte an öffentlichen Schulen wird der Anspruch auf Erholungsurlaub durch die Schulferien abgegolten. Sie können jedoch während der Ferien aus dienstlichen Gründen in angemessenem Umfang zu Dienstleistungen herangezogen werden.</w:t>
      </w:r>
    </w:p>
    <w:p>
      <w:r>
        <w:t xml:space="preserve">(2) Im Vorbereitungsdienst soll Erholungsurlaub nur während der fachpraktischen Ausbildung oder in der unterrichtsfreien Zeit gewährt werden.</w:t>
      </w:r>
    </w:p>
    <w:p>
      <w:r>
        <w:rPr>
          <w:color w:val="555555"/>
          <w:sz w:val="17"/>
        </w:rPr>
        <w:t xml:space="preserve">Zitiervorschlag: § 4 EUrlDbV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https://recht.nulegal.eu/gesetze/EUrlDbV/4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