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EUrlDbV (Brandenburg) — Erkrankung</w:t>
      </w:r>
    </w:p>
    <w:p>
      <w:r>
        <w:rPr>
          <w:color w:val="555555"/>
          <w:sz w:val="18"/>
        </w:rPr>
        <w:t xml:space="preserve">Erholungsurlaubs- und Dienstbefreiungsverordnung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Wird die Beamtin oder der Beamte während des Erholungsurlaubs durch Krankheit dienstunfähig, wird die Zeit der Dienstunfähigkeit nicht auf den Erholungsurlaub angerechnet, soweit die Erkrankung durch ein ärztliches Zeugnis belegt wird.</w:t>
      </w:r>
    </w:p>
    <w:p>
      <w:r>
        <w:t xml:space="preserve">(2) Will die Beamtin oder der Beamte wegen der Erkrankung Erholungsurlaub über die genehmigte Zeit hinaus nehmen, bedarf es dazu einer neuen Genehmigung.</w:t>
      </w:r>
    </w:p>
    <w:p>
      <w:r>
        <w:t xml:space="preserve">(3) Kann eine Dienstbefreiung auf Grund einer Erkrankung nicht in Anspruch genommen werden, entfällt eine Anrechnung.</w:t>
      </w:r>
    </w:p>
    <w:p>
      <w:r>
        <w:rPr>
          <w:color w:val="555555"/>
          <w:sz w:val="17"/>
        </w:rPr>
        <w:t xml:space="preserve">Zitiervorschlag: § 15 EUrlDbV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https://recht.nulegal.eu/gesetze/EUrlDbV/15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