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EUrlDbV (Brandenburg) — Antrag und Genehmigung von Erholungsurlaub und Dienstbefreiung</w:t>
      </w:r>
    </w:p>
    <w:p>
      <w:r>
        <w:rPr>
          <w:color w:val="555555"/>
          <w:sz w:val="18"/>
        </w:rPr>
        <w:t xml:space="preserve">Erholungsurlaubs- und Dienstbefreiungsverordnung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Genehmigung von Erholungsurlaub und Dienstbefreiung setzt einen rechtzeitigen Antrag der Beamtin oder des Beamten voraus. Ein Erholungsurlaub von mehr als 30 Arbeitstagen soll mindestens drei Monate vorher beantragt werden, wenn er zusammenhängend in Anspruch genommen wird.</w:t>
      </w:r>
    </w:p>
    <w:p>
      <w:r>
        <w:t xml:space="preserve">(2) Der beantragte Erholungsurlaub ist zu genehmigen, sofern die ordnungsgemäße Erledigung der Dienstgeschäfte beziehungsweise der geordnete Ablauf der Ausbildung gewährleistet sind. Vertretungskosten sind grundsätzlich zu vermeiden.</w:t>
      </w:r>
    </w:p>
    <w:p>
      <w:r>
        <w:rPr>
          <w:color w:val="555555"/>
          <w:sz w:val="17"/>
        </w:rPr>
        <w:t xml:space="preserve">Zitiervorschlag: § 13 EUrlDbV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https://recht.nulegal.eu/gesetze/EUrlDbV/13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