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EUZZV (Brandenburg) — Inkrafttreten, Außerkrafttreten</w:t>
      </w:r>
    </w:p>
    <w:p>
      <w:r>
        <w:rPr>
          <w:color w:val="555555"/>
          <w:sz w:val="18"/>
        </w:rPr>
        <w:t xml:space="preserve">EU-Zustellung-Zentralstellenverordnung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zur Bestimmung der Zentralstelle nach der Verordnung ( EG ) Nr. 1348/2000 des Rates vom 29. Mai 2000 über die Zustellung gerichtlicher und außergerichtlicher Schriftstücke in Zivil- oder Handelssachen in den Mitgliedstaaten vom 19. Dezember 2001 ( GVBl. 2002 II S. 6) außer Kraft.</w:t>
      </w:r>
    </w:p>
    <w:p>
      <w:r>
        <w:t xml:space="preserve">Potsdam, den 7. August 2024</w:t>
      </w:r>
    </w:p>
    <w:p>
      <w:r>
        <w:t xml:space="preserve">Die Ministerin der Justiz</w:t>
      </w:r>
    </w:p>
    <w:p>
      <w:r>
        <w:t xml:space="preserve">Susanne Hoffmann</w:t>
      </w:r>
    </w:p>
    <w:p>
      <w:r>
        <w:rPr>
          <w:color w:val="555555"/>
          <w:sz w:val="17"/>
        </w:rPr>
        <w:t xml:space="preserve">Zitiervorschlag: § 2 EUZZV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