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EUZBLG</w:t>
      </w:r>
    </w:p>
    <w:p>
      <w:r>
        <w:rPr>
          <w:color w:val="555555"/>
          <w:sz w:val="18"/>
        </w:rPr>
        <w:t xml:space="preserve">Gesetz über die Zusammenarbeit von Bund und Ländern in Angelegenheiten der Europäischen Union</w:t>
      </w:r>
    </w:p>
    <w:p>
      <w:r>
        <w:rPr>
          <w:color w:val="555555"/>
          <w:sz w:val="18"/>
        </w:rPr>
        <w:t xml:space="preserve">Stand: 10.06.2019 (konsolidierte Textfassung, kein amtliches Inkrafttretensdatum)</w:t>
      </w:r>
    </w:p>
    <w:p>
      <w:r>
        <w:t xml:space="preserve">(1) Soweit in einem Bereich ausschließlicher Zuständigkeiten des Bundes Interessen der Länder berührt sind oder soweit im übrigen der Bund das Recht zur Gesetzgebung hat, berücksichtigt die Bundesregierung die Stellungnahme des Bundesrates bei der Festlegung der Verhandlungsposition zu dem Vorhaben.</w:t>
      </w:r>
    </w:p>
    <w:p>
      <w:r>
        <w:t xml:space="preserve">(2) Wenn bei einem Vorhaben im Schwerpunkt Gesetzgebungsbefugnisse der Länder betroffen sind und der Bund kein Recht zur Gesetzgebung hat oder ein Vorhaben im Schwerpunkt die Einrichtung der Behörden der Länder oder ihre Verwaltungsverfahren betrifft, ist insoweit bei Festlegung der Verhandlungsposition durch die Bundesregierung die Stellungnahme des Bundesrates maßgeblich zu berücksichtigen; im übrigen gilt Absatz 1. Die gesamtstaatliche Verantwortung des Bundes, einschließlich außen-, verteidigungs- und integrationspolitisch zu bewertender Fragen, ist zu wahren. Stimmt die Auffassung der Bundesregierung nicht mit der Stellungnahme des Bundesrates überein, ist ein Einvernehmen anzustreben. Zur Herbeiführung dieses Einvernehmens erfolgt erneute Beratung der Bundesregierung mit Vertretern der Länder. Kommt ein Einvernehmen nicht zustande und bestätigt der Bundesrat daraufhin seine Auffassung mit einem mit zwei Dritteln seiner Stimmen gefaßten Beschluß, so ist die Auffassung des Bundesrates maßgebend. Die Zustimmung der Bundesregierung ist erforderlich, wenn Entscheidungen zu Ausgabenerhöhungen oder Einnahmeminderungen für den Bund führen können.</w:t>
      </w:r>
    </w:p>
    <w:p>
      <w:r>
        <w:t xml:space="preserve">(3) (weggefallen)</w:t>
      </w:r>
    </w:p>
    <w:p>
      <w:r>
        <w:rPr>
          <w:color w:val="555555"/>
          <w:sz w:val="17"/>
        </w:rPr>
        <w:t xml:space="preserve">Zitiervorschlag: § 5 EUZBLG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https://recht.nulegal.eu/gesetze/EUZBLG/5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