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(1) Soweit der Bundesrat an einer entsprechenden innerstaatlichen Maßnahme mitzuwirken hätte oder soweit die Länder innerstaatlich zuständig wären, beteiligt die Bundesregierung vom Bundesrat benannte Vertreter der Länder an Beratungen zur Festlegung der Verhandlungsposition zu dem Vorhaben.</w:t>
      </w:r>
    </w:p>
    <w:p>
      <w:r>
        <w:t xml:space="preserve">(2) Gegenstand der Beratungen nach Absatz 1 ist auch die Anwendung der §§ 5 und 6 auf das Vorhaben. Dabei ist zwischen Bund und Ländern ein Einvernehmen anzustreben.</w:t>
      </w:r>
    </w:p>
    <w:p>
      <w:r>
        <w:rPr>
          <w:color w:val="555555"/>
          <w:sz w:val="17"/>
        </w:rPr>
        <w:t xml:space="preserve">Zitiervorschlag: § 4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