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EUZBLG</w:t>
      </w:r>
    </w:p>
    <w:p>
      <w:r>
        <w:rPr>
          <w:color w:val="555555"/>
          <w:sz w:val="18"/>
        </w:rPr>
        <w:t xml:space="preserve">Gesetz über die Zusammenarbeit von Bund und Ländern in Angelegenheiten der Europäischen Union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Vorhaben der Europäischen Union ist das Recht der Gemeinden und Gemeindeverbände zur Regelung der Angelegenheiten der örtlichen Gemeinschaft zu wahren und sind ihre Belange zu schützen.</w:t>
      </w:r>
    </w:p>
    <w:p>
      <w:r>
        <w:t xml:space="preserve">(2) Nimmt der Bundesrat bei Vorhaben der Europäischen Union zu Fragen der kommunalen Daseinsvorsorge Stellung, ist die Stellungnahme von der Bundesregierung unter den Voraussetzungen des § 5 zu berücksichtigen. Die Beteiligungsrechte des Bundesrates gemäß § 5 Absatz 2 bleiben unberührt.</w:t>
      </w:r>
    </w:p>
    <w:p>
      <w:r>
        <w:rPr>
          <w:color w:val="555555"/>
          <w:sz w:val="17"/>
        </w:rPr>
        <w:t xml:space="preserve">Zitiervorschlag: § 10 EUZBLG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https://recht.nulegal.eu/gesetze/EUZBLG/10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