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EUV — Ordnungswidrigkeiten</w:t>
      </w:r>
    </w:p>
    <w:p>
      <w:r>
        <w:rPr>
          <w:color w:val="555555"/>
          <w:sz w:val="18"/>
        </w:rPr>
        <w:t xml:space="preserve">Eisenbahn-Unfalluntersuchungsverordnung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Ordnungswidrig im Sinne des § 28 Absatz 1 Nummer 6 Buchstabe b des Allgemeinen Eisenbahngesetzes handelt, wer vorsätzlich oder fahrlässig</w:t>
      </w:r>
    </w:p>
    <w:p>
      <w:pPr>
        <w:ind w:left="420"/>
      </w:pPr>
      <w:r>
        <w:t xml:space="preserve">1. entgegen § 2 Absatz 3 Satz 1 eine Meldung nicht, nicht richtig, nicht vollständig, nicht in der vorgeschriebenen Weise oder nicht rechtzeitig macht,</w:t>
      </w:r>
    </w:p>
    <w:p>
      <w:pPr>
        <w:ind w:left="420"/>
      </w:pPr>
      <w:r>
        <w:t xml:space="preserve">2. entgegen § 2 Absatz 3 Satz 3 eine Information nicht, nicht richtig, nicht vollständig oder nicht rechtzeitig nachreicht oder nicht auf dem neuesten Stand hält oder</w:t>
      </w:r>
    </w:p>
    <w:p>
      <w:pPr>
        <w:ind w:left="420"/>
      </w:pPr>
      <w:r>
        <w:t xml:space="preserve">3. entgegen § 4 Absatz 2 eine Unfallstelle, eine Unfallspur, ein Fahrzeug, ein Fahrzeugteil oder sonstigen Inhalt eines Fahrzeugs verändert.</w:t>
      </w:r>
    </w:p>
    <w:p>
      <w:r>
        <w:rPr>
          <w:color w:val="555555"/>
          <w:sz w:val="17"/>
        </w:rPr>
        <w:t xml:space="preserve">Zitiervorschlag: § 8 EUV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