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EUV — Sicherheitsempfehlungen</w:t>
      </w:r>
    </w:p>
    <w:p>
      <w:r>
        <w:rPr>
          <w:color w:val="555555"/>
          <w:sz w:val="18"/>
        </w:rPr>
        <w:t xml:space="preserve">Eisenbahn-Unfalluntersuchungsverordnung</w:t>
      </w:r>
    </w:p>
    <w:p>
      <w:r>
        <w:rPr>
          <w:color w:val="555555"/>
          <w:sz w:val="18"/>
        </w:rPr>
        <w:t xml:space="preserve">Stand: 10.12.2019 (konsolidierte Textfassung, kein amtliches Inkrafttretensdatum)</w:t>
      </w:r>
    </w:p>
    <w:p>
      <w:r>
        <w:t xml:space="preserve">(1) Die Untersuchungsstelle kann jederzeit Sicherheitsempfehlungen aussprechen. Diese enthalten die Maßnahmen, die nach den bei der Untersuchung gefährlicher Ereignisse gewonnenen Erkenntnisse zur Verbesserung der Eisenbahnsicherheit und Verhütung gefährlicher Ereignisse erforderlich sind.</w:t>
      </w:r>
    </w:p>
    <w:p>
      <w:r>
        <w:t xml:space="preserve">(2) Die Sicherheitsempfehlungen sind an die Sicherheitsbehörde und, sofern es die Art der Empfehlung erfordert, an die Agentur und andere Stellen oder Behörden oder an andere Mitgliedstaaten der Europäischen Union zu richten. Die Sicherheitsbehörde stellt im Rahmen ihrer Befugnisse sicher, dass die an sie gerichteten Sicherheitsempfehlungen, auch solche anderer Mitgliedstaaten, beachtet und, soweit erforderlich, umgesetzt werden. Die Adressaten von Sicherheitsempfehlungen unterrichten die Untersuchungsstelle regelmäßig, spätestens bis zum 31. August jeden Jahres über die auf Grund der Sicherheitsempfehlungen ergriffenen oder geplanten Maßnahmen. Im Fall einer Sicherheitsempfehlung, die durch einen anderen Mitgliedstaat ausgesprochen worden ist, gilt Satz 3 mit der Maßgabe, dass die Sicherheitsbehörde diesen unterrichtet.</w:t>
      </w:r>
    </w:p>
    <w:p>
      <w:r>
        <w:rPr>
          <w:color w:val="555555"/>
          <w:sz w:val="17"/>
        </w:rPr>
        <w:t xml:space="preserve">Zitiervorschlag: § 6 EUV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