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EUV — Zusammenarbeit mit anderen Mitgliedstaaten und der Agentur sowie Unterrichtung der Länder</w:t>
      </w:r>
    </w:p>
    <w:p>
      <w:r>
        <w:rPr>
          <w:color w:val="555555"/>
          <w:sz w:val="18"/>
        </w:rPr>
        <w:t xml:space="preserve">Eisenbahn-Unfalluntersuchungsverordnung</w:t>
      </w:r>
    </w:p>
    <w:p>
      <w:r>
        <w:rPr>
          <w:color w:val="555555"/>
          <w:sz w:val="18"/>
        </w:rPr>
        <w:t xml:space="preserve">Stand: 10.12.2019 (konsolidierte Textfassung, kein amtliches Inkrafttretensdatum)</w:t>
      </w:r>
    </w:p>
    <w:p>
      <w:r>
        <w:t xml:space="preserve">(1) Wenn ein Eisenbahnverkehrsunternehmen mit Sitz in einem anderen Mitgliedstaat oder ein in einem anderen Mitgliedstaat registriertes oder dort instand gehaltenes Fahrzeug an einem gefährlichen Ereignis beteiligt ist, kann die Untersuchungsstelle dieses Mitgliedstaates von der Untersuchungsstelle hinzugezogen werden. In diesem Fall ist ihr die Mitwirkung an der Untersuchung zu ermöglichen, soweit Gegenseitigkeit nach § 5d Absatz 3 des Allgemeinen Eisenbahngesetzes besteht. Im Übrigen kann eine Mitwirkung der Untersuchungsstelle eines anderen Mitgliedstaates an einer Untersuchung erfolgen, wenn das gefährliche Ereignis nicht eindeutig dem Inland oder Ausland zugeordnet werden kann oder an der Grenze eingetreten ist.</w:t>
      </w:r>
    </w:p>
    <w:p>
      <w:r>
        <w:t xml:space="preserve">(2) Führt die Untersuchungsstelle eine Untersuchung durch, so teilt sie dies der Eisenbahnagentur der Europäischen Union (Agentur) innerhalb von sieben Tagen nach Beginn der Untersuchung mit. Diese Mitteilung muss Datum, Uhrzeit und Ort des gefährlichen Ereignisses sowie Art und Folgen in Bezug auf Todesopfer, Verletzte und Sachschäden enthalten.</w:t>
      </w:r>
    </w:p>
    <w:p>
      <w:r>
        <w:t xml:space="preserve">(3) Auf Einladung der Untersuchungsstelle eines anderen Mitgliedstaates darf sich die Untersuchungsstelle an Untersuchungen in diesem Mitgliedstaat beteiligen.</w:t>
      </w:r>
    </w:p>
    <w:p>
      <w:r>
        <w:t xml:space="preserve">(4) Hat sich ein gefährliches Ereignis auf einer nichtbundeseigenen Eisenbahninfrastruktur ereignet, wird die zuständige Genehmigungsbehörde des Landes unverzüglich hierüber unterrichtet.</w:t>
      </w:r>
    </w:p>
    <w:p>
      <w:r>
        <w:rPr>
          <w:color w:val="555555"/>
          <w:sz w:val="17"/>
        </w:rPr>
        <w:t xml:space="preserve">Zitiervorschlag: § 3 EUV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