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EUV — Anwendungsbereich</w:t>
      </w:r>
    </w:p>
    <w:p>
      <w:r>
        <w:rPr>
          <w:color w:val="555555"/>
          <w:sz w:val="18"/>
        </w:rPr>
        <w:t xml:space="preserve">Eisenbahn-Unfalluntersuchungsverordnung</w:t>
      </w:r>
    </w:p>
    <w:p>
      <w:r>
        <w:rPr>
          <w:color w:val="555555"/>
          <w:sz w:val="18"/>
        </w:rPr>
        <w:t xml:space="preserve">Stand: 07.07.2020 (konsolidierte Textfassung, kein amtliches Inkrafttretensdatum)</w:t>
      </w:r>
    </w:p>
    <w:p>
      <w:r>
        <w:t xml:space="preserve">Diese Verordnung gilt für die Untersuchung gefährlicher Ereignisse im Eisenbahnbetrieb auf den in § 5b Absatz 1 des Allgemeinen Eisenbahngesetzes genannten Infrastrukturen.</w:t>
      </w:r>
    </w:p>
    <w:p>
      <w:r>
        <w:rPr>
          <w:color w:val="555555"/>
          <w:sz w:val="17"/>
        </w:rPr>
        <w:t xml:space="preserve">Zitiervorschlag: § 1 EUV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