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EUTBV — Antragsberechtigte</w:t>
      </w:r>
    </w:p>
    <w:p>
      <w:r>
        <w:rPr>
          <w:color w:val="555555"/>
          <w:sz w:val="18"/>
        </w:rPr>
        <w:t xml:space="preserve">Teilhabeberatungsverordnung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Antragsberechtigt für die Gewährung von Zuschüssen sind juristische Personen mit Sitz in Deutschland. Nicht antragsberechtigt sind Rehabilitationsträger nach dem Neunten Buch Sozialgesetzbuch.</w:t>
      </w:r>
    </w:p>
    <w:p>
      <w:r>
        <w:rPr>
          <w:color w:val="555555"/>
          <w:sz w:val="17"/>
        </w:rPr>
        <w:t xml:space="preserve">Zitiervorschlag: § 7 EUTBV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https://recht.nulegal.eu/gesetze/EUTBV/7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